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E7" w:rsidRDefault="00A07BE7">
      <w:pPr>
        <w:pStyle w:val="NormalWeb"/>
        <w:rPr>
          <w:color w:val="000000"/>
          <w:sz w:val="27"/>
          <w:szCs w:val="27"/>
        </w:rPr>
      </w:pPr>
      <w:bookmarkStart w:id="0" w:name="P17_85"/>
      <w:bookmarkStart w:id="1" w:name="_DV_M0"/>
      <w:bookmarkStart w:id="2" w:name="_GoBack"/>
      <w:bookmarkEnd w:id="0"/>
      <w:bookmarkEnd w:id="1"/>
      <w:bookmarkEnd w:id="2"/>
      <w:r>
        <w:rPr>
          <w:rFonts w:ascii="Arial" w:hAnsi="Arial" w:cs="Arial"/>
          <w:b/>
          <w:i/>
          <w:color w:val="000000"/>
          <w:sz w:val="27"/>
          <w:szCs w:val="27"/>
        </w:rPr>
        <w:t>AN ACT CONCERNING PHARMACY REWARDS PROGRAMS AND PROTECTED HEALTH INFORMATION.</w:t>
      </w:r>
    </w:p>
    <w:p w:rsidR="00A07BE7" w:rsidRDefault="00A07BE7">
      <w:pPr>
        <w:pStyle w:val="NormalWeb"/>
        <w:rPr>
          <w:color w:val="000000"/>
          <w:sz w:val="27"/>
          <w:szCs w:val="27"/>
        </w:rPr>
      </w:pPr>
      <w:bookmarkStart w:id="3" w:name="_DV_M1"/>
      <w:bookmarkEnd w:id="3"/>
      <w:r>
        <w:rPr>
          <w:rFonts w:ascii="Book Antiqua" w:hAnsi="Book Antiqua"/>
          <w:color w:val="000000"/>
          <w:sz w:val="27"/>
          <w:szCs w:val="27"/>
        </w:rPr>
        <w:t>Be it enacted by the Senate and House of Representatives in General Assembly convened:</w:t>
      </w:r>
    </w:p>
    <w:p w:rsidR="0064742C" w:rsidRDefault="00A07BE7">
      <w:pPr>
        <w:pStyle w:val="NormalWeb"/>
        <w:rPr>
          <w:szCs w:val="27"/>
        </w:rPr>
      </w:pPr>
      <w:bookmarkStart w:id="4" w:name="_DV_M2"/>
      <w:bookmarkEnd w:id="4"/>
      <w:r>
        <w:rPr>
          <w:rFonts w:ascii="Book Antiqua" w:hAnsi="Book Antiqua"/>
          <w:color w:val="000000"/>
          <w:sz w:val="27"/>
          <w:szCs w:val="27"/>
        </w:rPr>
        <w:t>Section 1. (NEW) (</w:t>
      </w:r>
      <w:r>
        <w:rPr>
          <w:rFonts w:ascii="Book Antiqua" w:hAnsi="Book Antiqua"/>
          <w:i/>
          <w:color w:val="000000"/>
          <w:sz w:val="27"/>
          <w:szCs w:val="27"/>
        </w:rPr>
        <w:t>Effective July 1, 2014</w:t>
      </w:r>
      <w:r>
        <w:rPr>
          <w:rFonts w:ascii="Book Antiqua" w:hAnsi="Book Antiqua"/>
          <w:color w:val="000000"/>
          <w:sz w:val="27"/>
          <w:szCs w:val="27"/>
        </w:rPr>
        <w:t>) (a) For purposes of this section</w:t>
      </w:r>
      <w:bookmarkStart w:id="5" w:name="_DV_C1"/>
      <w:r w:rsidR="0064742C">
        <w:rPr>
          <w:rStyle w:val="DeltaViewDeletion"/>
          <w:rFonts w:ascii="Book Antiqua" w:hAnsi="Book Antiqua"/>
          <w:szCs w:val="27"/>
        </w:rPr>
        <w:t>:</w:t>
      </w:r>
      <w:bookmarkStart w:id="6" w:name="_DV_C2"/>
      <w:bookmarkEnd w:id="5"/>
      <w:r w:rsidR="0064742C">
        <w:rPr>
          <w:rStyle w:val="DeltaViewDeletion"/>
          <w:rFonts w:ascii="Book Antiqua" w:hAnsi="Book Antiqua"/>
          <w:szCs w:val="27"/>
        </w:rPr>
        <w:t>(1)</w:t>
      </w:r>
      <w:bookmarkStart w:id="7" w:name="_DV_C3"/>
      <w:bookmarkEnd w:id="6"/>
      <w:r>
        <w:rPr>
          <w:rStyle w:val="DeltaViewInsertion"/>
          <w:rFonts w:ascii="Book Antiqua" w:hAnsi="Book Antiqua"/>
          <w:sz w:val="27"/>
          <w:szCs w:val="27"/>
        </w:rPr>
        <w:t>,</w:t>
      </w:r>
      <w:bookmarkEnd w:id="7"/>
      <w:r>
        <w:rPr>
          <w:rFonts w:ascii="Book Antiqua" w:hAnsi="Book Antiqua"/>
          <w:color w:val="000000"/>
          <w:sz w:val="27"/>
          <w:szCs w:val="27"/>
        </w:rPr>
        <w:t xml:space="preserve"> "</w:t>
      </w:r>
      <w:bookmarkStart w:id="8" w:name="_DV_C4"/>
      <w:r w:rsidR="0064742C">
        <w:rPr>
          <w:rStyle w:val="DeltaViewDeletion"/>
          <w:rFonts w:ascii="Book Antiqua" w:hAnsi="Book Antiqua"/>
          <w:szCs w:val="27"/>
        </w:rPr>
        <w:t>Pharmacy</w:t>
      </w:r>
      <w:bookmarkStart w:id="9" w:name="_DV_C5"/>
      <w:bookmarkEnd w:id="8"/>
      <w:r>
        <w:rPr>
          <w:rStyle w:val="DeltaViewInsertion"/>
          <w:rFonts w:ascii="Book Antiqua" w:hAnsi="Book Antiqua"/>
          <w:sz w:val="27"/>
          <w:szCs w:val="27"/>
        </w:rPr>
        <w:t>pharmacy</w:t>
      </w:r>
      <w:bookmarkStart w:id="10" w:name="_DV_M3"/>
      <w:bookmarkEnd w:id="9"/>
      <w:bookmarkEnd w:id="10"/>
      <w:r>
        <w:rPr>
          <w:rFonts w:ascii="Book Antiqua" w:hAnsi="Book Antiqua"/>
          <w:color w:val="000000"/>
          <w:sz w:val="27"/>
          <w:szCs w:val="27"/>
        </w:rPr>
        <w:t xml:space="preserve"> rewards program" means a promotional arrangement under which a retailer provides a consumer with store credits, discounts or other tangible benefits in exchange for the consumer filling drug prescriptions through such retailer or its affiliate</w:t>
      </w:r>
      <w:bookmarkStart w:id="11" w:name="_DV_C6"/>
      <w:r w:rsidR="0064742C">
        <w:rPr>
          <w:rStyle w:val="DeltaViewDeletion"/>
          <w:rFonts w:ascii="Book Antiqua" w:hAnsi="Book Antiqua"/>
          <w:szCs w:val="27"/>
        </w:rPr>
        <w:t>;</w:t>
      </w:r>
      <w:bookmarkEnd w:id="11"/>
    </w:p>
    <w:p w:rsidR="0064742C" w:rsidRDefault="0064742C">
      <w:pPr>
        <w:pStyle w:val="NormalWeb"/>
        <w:rPr>
          <w:szCs w:val="27"/>
        </w:rPr>
      </w:pPr>
      <w:bookmarkStart w:id="12" w:name="_DV_C7"/>
      <w:r>
        <w:rPr>
          <w:rStyle w:val="DeltaViewDeletion"/>
          <w:rFonts w:ascii="Book Antiqua" w:hAnsi="Book Antiqua"/>
          <w:szCs w:val="27"/>
        </w:rPr>
        <w:t>(2) "HIPAA authorization" means an authorization to disclose medical records that meets the privacy requirements of the Health Insurance Portability and Accountability Act of 1996 (P. L. 104-191) (HIPAA), as amended from time to time, or regulations adopted thereunder;</w:t>
      </w:r>
      <w:bookmarkEnd w:id="12"/>
    </w:p>
    <w:p w:rsidR="00A07BE7" w:rsidRDefault="0064742C">
      <w:pPr>
        <w:pStyle w:val="NormalWeb"/>
        <w:rPr>
          <w:color w:val="000000"/>
          <w:sz w:val="27"/>
          <w:szCs w:val="27"/>
        </w:rPr>
      </w:pPr>
      <w:bookmarkStart w:id="13" w:name="_DV_C8"/>
      <w:r>
        <w:rPr>
          <w:rStyle w:val="DeltaViewDeletion"/>
          <w:rFonts w:ascii="Book Antiqua" w:hAnsi="Book Antiqua"/>
          <w:szCs w:val="27"/>
        </w:rPr>
        <w:t>(3) "Protected health information" has the meaning assigned to it in 45 CFR 160. 103, as amended from time to time; and</w:t>
      </w:r>
      <w:bookmarkStart w:id="14" w:name="_DV_C9"/>
      <w:bookmarkEnd w:id="13"/>
      <w:r>
        <w:rPr>
          <w:rStyle w:val="DeltaViewDeletion"/>
          <w:rFonts w:ascii="Book Antiqua" w:hAnsi="Book Antiqua"/>
          <w:szCs w:val="27"/>
        </w:rPr>
        <w:t>(4) "Marketing" has the meaning assigned to it in 45 CFR 164. 501, as amended from time to time</w:t>
      </w:r>
      <w:bookmarkStart w:id="15" w:name="_DV_M4"/>
      <w:bookmarkEnd w:id="14"/>
      <w:bookmarkEnd w:id="15"/>
      <w:r w:rsidR="00A07BE7">
        <w:rPr>
          <w:rFonts w:ascii="Book Antiqua" w:hAnsi="Book Antiqua"/>
          <w:color w:val="000000"/>
          <w:sz w:val="27"/>
          <w:szCs w:val="27"/>
        </w:rPr>
        <w:t>.</w:t>
      </w:r>
    </w:p>
    <w:p w:rsidR="00A07BE7" w:rsidRDefault="00A07BE7">
      <w:pPr>
        <w:pStyle w:val="NormalWeb"/>
        <w:rPr>
          <w:color w:val="000000"/>
          <w:sz w:val="27"/>
          <w:szCs w:val="27"/>
        </w:rPr>
      </w:pPr>
      <w:bookmarkStart w:id="16" w:name="_DV_M5"/>
      <w:bookmarkEnd w:id="16"/>
      <w:r>
        <w:rPr>
          <w:rFonts w:ascii="Book Antiqua" w:hAnsi="Book Antiqua"/>
          <w:color w:val="000000"/>
          <w:sz w:val="27"/>
          <w:szCs w:val="27"/>
        </w:rPr>
        <w:t>(b) Prior to enrolling a consumer in a pharmacy rewards program, a retailer shall provide the consumer with a</w:t>
      </w:r>
      <w:bookmarkStart w:id="17" w:name="_DV_C10"/>
      <w:r w:rsidR="0064742C">
        <w:rPr>
          <w:rStyle w:val="DeltaViewDeletion"/>
          <w:rFonts w:ascii="Book Antiqua" w:hAnsi="Book Antiqua"/>
          <w:szCs w:val="27"/>
        </w:rPr>
        <w:t xml:space="preserve"> written</w:t>
      </w:r>
      <w:bookmarkStart w:id="18" w:name="_DV_M6"/>
      <w:bookmarkEnd w:id="17"/>
      <w:bookmarkEnd w:id="18"/>
      <w:r>
        <w:rPr>
          <w:rFonts w:ascii="Book Antiqua" w:hAnsi="Book Antiqua"/>
          <w:color w:val="000000"/>
          <w:sz w:val="27"/>
          <w:szCs w:val="27"/>
        </w:rPr>
        <w:t xml:space="preserve"> plain language summary of the terms and conditions of such program. </w:t>
      </w:r>
      <w:bookmarkStart w:id="19" w:name="_DV_C11"/>
      <w:r>
        <w:rPr>
          <w:rStyle w:val="DeltaViewInsertion"/>
          <w:rFonts w:ascii="Book Antiqua" w:hAnsi="Book Antiqua"/>
          <w:sz w:val="27"/>
          <w:szCs w:val="27"/>
        </w:rPr>
        <w:t>Such summary shall be in writing and shall include, if a HIPAA authorization is required to participate in the program, a disclosure statement that contains conspicuous notice, in bold font, of what a HIPAA authorization is and that explains that, once a HIPAA authorization is signed, the consumer's personal health information may no longer be protected by federal and state privacy laws.</w:t>
      </w:r>
      <w:bookmarkEnd w:id="19"/>
    </w:p>
    <w:p w:rsidR="00A07BE7" w:rsidRDefault="00A07BE7">
      <w:pPr>
        <w:pStyle w:val="NormalWeb"/>
        <w:rPr>
          <w:color w:val="000000"/>
          <w:sz w:val="27"/>
          <w:szCs w:val="27"/>
        </w:rPr>
      </w:pPr>
      <w:bookmarkStart w:id="20" w:name="_DV_C12"/>
      <w:r>
        <w:rPr>
          <w:rStyle w:val="DeltaViewInsertion"/>
          <w:rFonts w:ascii="Book Antiqua" w:hAnsi="Book Antiqua"/>
          <w:sz w:val="27"/>
          <w:szCs w:val="27"/>
        </w:rPr>
        <w:t xml:space="preserve">(c) </w:t>
      </w:r>
      <w:bookmarkStart w:id="21" w:name="_DV_M7"/>
      <w:bookmarkEnd w:id="20"/>
      <w:bookmarkEnd w:id="21"/>
      <w:r>
        <w:rPr>
          <w:rFonts w:ascii="Book Antiqua" w:hAnsi="Book Antiqua"/>
          <w:color w:val="000000"/>
          <w:sz w:val="27"/>
          <w:szCs w:val="27"/>
        </w:rPr>
        <w:t xml:space="preserve">If the consumer is required to sign a HIPAA authorization </w:t>
      </w:r>
      <w:bookmarkStart w:id="22" w:name="_DV_C13"/>
      <w:r w:rsidR="0064742C">
        <w:rPr>
          <w:rStyle w:val="DeltaViewDeletion"/>
          <w:rFonts w:ascii="Book Antiqua" w:hAnsi="Book Antiqua"/>
          <w:szCs w:val="27"/>
        </w:rPr>
        <w:t xml:space="preserve">form </w:t>
      </w:r>
      <w:bookmarkStart w:id="23" w:name="_DV_M8"/>
      <w:bookmarkEnd w:id="22"/>
      <w:bookmarkEnd w:id="23"/>
      <w:r>
        <w:rPr>
          <w:rFonts w:ascii="Book Antiqua" w:hAnsi="Book Antiqua"/>
          <w:color w:val="000000"/>
          <w:sz w:val="27"/>
          <w:szCs w:val="27"/>
        </w:rPr>
        <w:t xml:space="preserve">to participate in the program, the retailer shall include information on the </w:t>
      </w:r>
      <w:bookmarkStart w:id="24" w:name="_DV_C14"/>
      <w:r>
        <w:rPr>
          <w:rStyle w:val="DeltaViewInsertion"/>
          <w:rFonts w:ascii="Book Antiqua" w:hAnsi="Book Antiqua"/>
          <w:sz w:val="27"/>
          <w:szCs w:val="27"/>
        </w:rPr>
        <w:t xml:space="preserve">enrollment </w:t>
      </w:r>
      <w:bookmarkStart w:id="25" w:name="_DV_M9"/>
      <w:bookmarkEnd w:id="24"/>
      <w:bookmarkEnd w:id="25"/>
      <w:r>
        <w:rPr>
          <w:rFonts w:ascii="Book Antiqua" w:hAnsi="Book Antiqua"/>
          <w:color w:val="000000"/>
          <w:sz w:val="27"/>
          <w:szCs w:val="27"/>
        </w:rPr>
        <w:t xml:space="preserve">form, </w:t>
      </w:r>
      <w:bookmarkStart w:id="26" w:name="_DV_C15"/>
      <w:r w:rsidR="0064742C">
        <w:rPr>
          <w:rStyle w:val="DeltaViewDeletion"/>
          <w:rFonts w:ascii="Book Antiqua" w:hAnsi="Book Antiqua"/>
          <w:szCs w:val="27"/>
        </w:rPr>
        <w:t>adjacent to</w:t>
      </w:r>
      <w:bookmarkStart w:id="27" w:name="_DV_C16"/>
      <w:bookmarkEnd w:id="26"/>
      <w:r>
        <w:rPr>
          <w:rStyle w:val="DeltaViewInsertion"/>
          <w:rFonts w:ascii="Book Antiqua" w:hAnsi="Book Antiqua"/>
          <w:sz w:val="27"/>
          <w:szCs w:val="27"/>
        </w:rPr>
        <w:t>at</w:t>
      </w:r>
      <w:bookmarkStart w:id="28" w:name="_DV_M10"/>
      <w:bookmarkEnd w:id="27"/>
      <w:bookmarkEnd w:id="28"/>
      <w:r>
        <w:rPr>
          <w:rFonts w:ascii="Book Antiqua" w:hAnsi="Book Antiqua"/>
          <w:color w:val="000000"/>
          <w:sz w:val="27"/>
          <w:szCs w:val="27"/>
        </w:rPr>
        <w:t xml:space="preserve"> the point </w:t>
      </w:r>
      <w:bookmarkStart w:id="29" w:name="_DV_C17"/>
      <w:r w:rsidR="0064742C">
        <w:rPr>
          <w:rStyle w:val="DeltaViewDeletion"/>
          <w:rFonts w:ascii="Book Antiqua" w:hAnsi="Book Antiqua"/>
          <w:szCs w:val="27"/>
        </w:rPr>
        <w:t>where the</w:t>
      </w:r>
      <w:bookmarkStart w:id="30" w:name="_DV_C18"/>
      <w:bookmarkEnd w:id="29"/>
      <w:r>
        <w:rPr>
          <w:rStyle w:val="DeltaViewInsertion"/>
          <w:rFonts w:ascii="Book Antiqua" w:hAnsi="Book Antiqua"/>
          <w:sz w:val="27"/>
          <w:szCs w:val="27"/>
        </w:rPr>
        <w:t>of</w:t>
      </w:r>
      <w:bookmarkStart w:id="31" w:name="_DV_M11"/>
      <w:bookmarkEnd w:id="30"/>
      <w:bookmarkEnd w:id="31"/>
      <w:r>
        <w:rPr>
          <w:rFonts w:ascii="Book Antiqua" w:hAnsi="Book Antiqua"/>
          <w:color w:val="000000"/>
          <w:sz w:val="27"/>
          <w:szCs w:val="27"/>
        </w:rPr>
        <w:t xml:space="preserve"> HIPAA authorization</w:t>
      </w:r>
      <w:bookmarkStart w:id="32" w:name="_DV_C19"/>
      <w:r w:rsidR="0064742C">
        <w:rPr>
          <w:rStyle w:val="DeltaViewDeletion"/>
          <w:rFonts w:ascii="Book Antiqua" w:hAnsi="Book Antiqua"/>
          <w:szCs w:val="27"/>
        </w:rPr>
        <w:t xml:space="preserve"> form is to be signed</w:t>
      </w:r>
      <w:bookmarkStart w:id="33" w:name="_DV_M12"/>
      <w:bookmarkEnd w:id="32"/>
      <w:bookmarkEnd w:id="33"/>
      <w:r>
        <w:rPr>
          <w:rFonts w:ascii="Book Antiqua" w:hAnsi="Book Antiqua"/>
          <w:color w:val="000000"/>
          <w:sz w:val="27"/>
          <w:szCs w:val="27"/>
        </w:rPr>
        <w:t xml:space="preserve">, that states: (1) The specific uses or disclosures </w:t>
      </w:r>
      <w:bookmarkStart w:id="34" w:name="_DV_C20"/>
      <w:r w:rsidR="0064742C">
        <w:rPr>
          <w:rStyle w:val="DeltaViewDeletion"/>
          <w:rFonts w:ascii="Book Antiqua" w:hAnsi="Book Antiqua"/>
          <w:szCs w:val="27"/>
        </w:rPr>
        <w:t xml:space="preserve">of protected health information </w:t>
      </w:r>
      <w:bookmarkStart w:id="35" w:name="_DV_M13"/>
      <w:bookmarkEnd w:id="34"/>
      <w:bookmarkEnd w:id="35"/>
      <w:r>
        <w:rPr>
          <w:rFonts w:ascii="Book Antiqua" w:hAnsi="Book Antiqua"/>
          <w:color w:val="000000"/>
          <w:sz w:val="27"/>
          <w:szCs w:val="27"/>
        </w:rPr>
        <w:t xml:space="preserve">the HIPAA authorization allows, (2) whether </w:t>
      </w:r>
      <w:bookmarkStart w:id="36" w:name="_DV_C21"/>
      <w:r w:rsidR="0064742C">
        <w:rPr>
          <w:rStyle w:val="DeltaViewDeletion"/>
          <w:rFonts w:ascii="Book Antiqua" w:hAnsi="Book Antiqua"/>
          <w:szCs w:val="27"/>
        </w:rPr>
        <w:t>protected</w:t>
      </w:r>
      <w:bookmarkStart w:id="37" w:name="_DV_C22"/>
      <w:bookmarkEnd w:id="36"/>
      <w:r>
        <w:rPr>
          <w:rStyle w:val="DeltaViewInsertion"/>
          <w:rFonts w:ascii="Book Antiqua" w:hAnsi="Book Antiqua"/>
          <w:sz w:val="27"/>
          <w:szCs w:val="27"/>
        </w:rPr>
        <w:t>personal</w:t>
      </w:r>
      <w:bookmarkStart w:id="38" w:name="_DV_M14"/>
      <w:bookmarkEnd w:id="37"/>
      <w:bookmarkEnd w:id="38"/>
      <w:r>
        <w:rPr>
          <w:rFonts w:ascii="Book Antiqua" w:hAnsi="Book Antiqua"/>
          <w:color w:val="000000"/>
          <w:sz w:val="27"/>
          <w:szCs w:val="27"/>
        </w:rPr>
        <w:t xml:space="preserve"> health information obtained by the retailer will be disclosed to third parties and, if so disclosed, </w:t>
      </w:r>
      <w:bookmarkStart w:id="39" w:name="_DV_C23"/>
      <w:r>
        <w:rPr>
          <w:rStyle w:val="DeltaViewInsertion"/>
          <w:rFonts w:ascii="Book Antiqua" w:hAnsi="Book Antiqua"/>
          <w:sz w:val="27"/>
          <w:szCs w:val="27"/>
        </w:rPr>
        <w:t xml:space="preserve">shall include a disclosure statement </w:t>
      </w:r>
      <w:bookmarkStart w:id="40" w:name="_DV_M15"/>
      <w:bookmarkEnd w:id="39"/>
      <w:bookmarkEnd w:id="40"/>
      <w:r>
        <w:rPr>
          <w:rFonts w:ascii="Book Antiqua" w:hAnsi="Book Antiqua"/>
          <w:color w:val="000000"/>
          <w:sz w:val="27"/>
          <w:szCs w:val="27"/>
        </w:rPr>
        <w:t xml:space="preserve">that such information will not be protected by federal or state privacy laws, (3) which, if any, third parties will have access to the consumer's protected health information, (4) </w:t>
      </w:r>
      <w:bookmarkStart w:id="41" w:name="_DV_C24"/>
      <w:r>
        <w:rPr>
          <w:rStyle w:val="DeltaViewInsertion"/>
          <w:rFonts w:ascii="Book Antiqua" w:hAnsi="Book Antiqua"/>
          <w:sz w:val="27"/>
          <w:szCs w:val="27"/>
        </w:rPr>
        <w:t xml:space="preserve">instructions on </w:t>
      </w:r>
      <w:bookmarkStart w:id="42" w:name="_DV_M16"/>
      <w:bookmarkEnd w:id="41"/>
      <w:bookmarkEnd w:id="42"/>
      <w:r>
        <w:rPr>
          <w:rFonts w:ascii="Book Antiqua" w:hAnsi="Book Antiqua"/>
          <w:color w:val="000000"/>
          <w:sz w:val="27"/>
          <w:szCs w:val="27"/>
        </w:rPr>
        <w:t xml:space="preserve">how </w:t>
      </w:r>
      <w:bookmarkStart w:id="43" w:name="_DV_C25"/>
      <w:r w:rsidR="0064742C">
        <w:rPr>
          <w:rStyle w:val="DeltaViewDeletion"/>
          <w:rFonts w:ascii="Book Antiqua" w:hAnsi="Book Antiqua"/>
          <w:szCs w:val="27"/>
        </w:rPr>
        <w:t>the consumer may</w:t>
      </w:r>
      <w:bookmarkStart w:id="44" w:name="_DV_C26"/>
      <w:bookmarkEnd w:id="43"/>
      <w:r>
        <w:rPr>
          <w:rStyle w:val="DeltaViewInsertion"/>
          <w:rFonts w:ascii="Book Antiqua" w:hAnsi="Book Antiqua"/>
          <w:sz w:val="27"/>
          <w:szCs w:val="27"/>
        </w:rPr>
        <w:t>to</w:t>
      </w:r>
      <w:bookmarkStart w:id="45" w:name="_DV_M17"/>
      <w:bookmarkEnd w:id="44"/>
      <w:bookmarkEnd w:id="45"/>
      <w:r>
        <w:rPr>
          <w:rFonts w:ascii="Book Antiqua" w:hAnsi="Book Antiqua"/>
          <w:color w:val="000000"/>
          <w:sz w:val="27"/>
          <w:szCs w:val="27"/>
        </w:rPr>
        <w:t xml:space="preserve"> revoke the </w:t>
      </w:r>
      <w:bookmarkStart w:id="46" w:name="_DV_C27"/>
      <w:r w:rsidR="0064742C">
        <w:rPr>
          <w:rStyle w:val="DeltaViewDeletion"/>
          <w:rFonts w:ascii="Book Antiqua" w:hAnsi="Book Antiqua"/>
          <w:szCs w:val="27"/>
        </w:rPr>
        <w:t xml:space="preserve">HIPAA </w:t>
      </w:r>
      <w:bookmarkStart w:id="47" w:name="_DV_M18"/>
      <w:bookmarkEnd w:id="46"/>
      <w:bookmarkEnd w:id="47"/>
      <w:r>
        <w:rPr>
          <w:rFonts w:ascii="Book Antiqua" w:hAnsi="Book Antiqua"/>
          <w:color w:val="000000"/>
          <w:sz w:val="27"/>
          <w:szCs w:val="27"/>
        </w:rPr>
        <w:t xml:space="preserve">authorization, and </w:t>
      </w:r>
      <w:r>
        <w:rPr>
          <w:rFonts w:ascii="Book Antiqua" w:hAnsi="Book Antiqua"/>
          <w:color w:val="000000"/>
          <w:sz w:val="27"/>
          <w:szCs w:val="27"/>
        </w:rPr>
        <w:lastRenderedPageBreak/>
        <w:t xml:space="preserve">(5) that the consumer is entitled to a copy of the </w:t>
      </w:r>
      <w:bookmarkStart w:id="48" w:name="_DV_C28"/>
      <w:r w:rsidR="0064742C">
        <w:rPr>
          <w:rStyle w:val="DeltaViewDeletion"/>
          <w:rFonts w:ascii="Book Antiqua" w:hAnsi="Book Antiqua"/>
          <w:szCs w:val="27"/>
        </w:rPr>
        <w:t xml:space="preserve">HIPAA </w:t>
      </w:r>
      <w:bookmarkStart w:id="49" w:name="_DV_M19"/>
      <w:bookmarkEnd w:id="48"/>
      <w:bookmarkEnd w:id="49"/>
      <w:r>
        <w:rPr>
          <w:rFonts w:ascii="Book Antiqua" w:hAnsi="Book Antiqua"/>
          <w:color w:val="000000"/>
          <w:sz w:val="27"/>
          <w:szCs w:val="27"/>
        </w:rPr>
        <w:t>authorization</w:t>
      </w:r>
      <w:bookmarkStart w:id="50" w:name="_DV_C29"/>
      <w:r w:rsidR="0064742C">
        <w:rPr>
          <w:rStyle w:val="DeltaViewDeletion"/>
          <w:rFonts w:ascii="Book Antiqua" w:hAnsi="Book Antiqua"/>
          <w:szCs w:val="27"/>
        </w:rPr>
        <w:t xml:space="preserve"> form</w:t>
      </w:r>
      <w:bookmarkStart w:id="51" w:name="_DV_M20"/>
      <w:bookmarkEnd w:id="50"/>
      <w:bookmarkEnd w:id="51"/>
      <w:r>
        <w:rPr>
          <w:rFonts w:ascii="Book Antiqua" w:hAnsi="Book Antiqua"/>
          <w:color w:val="000000"/>
          <w:sz w:val="27"/>
          <w:szCs w:val="27"/>
        </w:rPr>
        <w:t xml:space="preserve"> once signed.</w:t>
      </w:r>
    </w:p>
    <w:p w:rsidR="00A07BE7" w:rsidRDefault="00A07BE7">
      <w:pPr>
        <w:pStyle w:val="NormalWeb"/>
        <w:rPr>
          <w:color w:val="000000"/>
          <w:sz w:val="27"/>
          <w:szCs w:val="27"/>
        </w:rPr>
      </w:pPr>
      <w:bookmarkStart w:id="52" w:name="_DV_M21"/>
      <w:bookmarkEnd w:id="52"/>
      <w:r>
        <w:rPr>
          <w:rFonts w:ascii="Book Antiqua" w:hAnsi="Book Antiqua"/>
          <w:color w:val="000000"/>
          <w:sz w:val="27"/>
          <w:szCs w:val="27"/>
        </w:rPr>
        <w:t>(</w:t>
      </w:r>
      <w:bookmarkStart w:id="53" w:name="_DV_C30"/>
      <w:r w:rsidR="0064742C">
        <w:rPr>
          <w:rStyle w:val="DeltaViewDeletion"/>
          <w:rFonts w:ascii="Book Antiqua" w:hAnsi="Book Antiqua"/>
          <w:szCs w:val="27"/>
        </w:rPr>
        <w:t>c</w:t>
      </w:r>
      <w:bookmarkStart w:id="54" w:name="_DV_C31"/>
      <w:bookmarkEnd w:id="53"/>
      <w:r>
        <w:rPr>
          <w:rStyle w:val="DeltaViewInsertion"/>
          <w:rFonts w:ascii="Book Antiqua" w:hAnsi="Book Antiqua"/>
          <w:sz w:val="27"/>
          <w:szCs w:val="27"/>
        </w:rPr>
        <w:t>d</w:t>
      </w:r>
      <w:bookmarkStart w:id="55" w:name="_DV_M22"/>
      <w:bookmarkEnd w:id="54"/>
      <w:bookmarkEnd w:id="55"/>
      <w:r>
        <w:rPr>
          <w:rFonts w:ascii="Book Antiqua" w:hAnsi="Book Antiqua"/>
          <w:color w:val="000000"/>
          <w:sz w:val="27"/>
          <w:szCs w:val="27"/>
        </w:rPr>
        <w:t>) The terms "HIPAA", "Health Insurance Portability and Accountability Act of 1996", "HIPAA authorization", "</w:t>
      </w:r>
      <w:bookmarkStart w:id="56" w:name="_DV_C32"/>
      <w:r w:rsidR="0064742C">
        <w:rPr>
          <w:rStyle w:val="DeltaViewDeletion"/>
          <w:rFonts w:ascii="Book Antiqua" w:hAnsi="Book Antiqua"/>
          <w:szCs w:val="27"/>
        </w:rPr>
        <w:t>protected</w:t>
      </w:r>
      <w:bookmarkStart w:id="57" w:name="_DV_C33"/>
      <w:bookmarkEnd w:id="56"/>
      <w:r>
        <w:rPr>
          <w:rStyle w:val="DeltaViewInsertion"/>
          <w:rFonts w:ascii="Book Antiqua" w:hAnsi="Book Antiqua"/>
          <w:sz w:val="27"/>
          <w:szCs w:val="27"/>
        </w:rPr>
        <w:t>personal</w:t>
      </w:r>
      <w:bookmarkStart w:id="58" w:name="_DV_M23"/>
      <w:bookmarkEnd w:id="57"/>
      <w:bookmarkEnd w:id="58"/>
      <w:r>
        <w:rPr>
          <w:rFonts w:ascii="Book Antiqua" w:hAnsi="Book Antiqua"/>
          <w:color w:val="000000"/>
          <w:sz w:val="27"/>
          <w:szCs w:val="27"/>
        </w:rPr>
        <w:t xml:space="preserve"> health information"</w:t>
      </w:r>
      <w:bookmarkStart w:id="59" w:name="_DV_C34"/>
      <w:r>
        <w:rPr>
          <w:rStyle w:val="DeltaViewInsertion"/>
          <w:rFonts w:ascii="Book Antiqua" w:hAnsi="Book Antiqua"/>
          <w:sz w:val="27"/>
          <w:szCs w:val="27"/>
        </w:rPr>
        <w:t>, "Privacy Rule", "privacy law"</w:t>
      </w:r>
      <w:bookmarkStart w:id="60" w:name="_DV_M24"/>
      <w:bookmarkEnd w:id="59"/>
      <w:bookmarkEnd w:id="60"/>
      <w:r>
        <w:rPr>
          <w:rFonts w:ascii="Book Antiqua" w:hAnsi="Book Antiqua"/>
          <w:color w:val="000000"/>
          <w:sz w:val="27"/>
          <w:szCs w:val="27"/>
        </w:rPr>
        <w:t xml:space="preserve"> and "marketing</w:t>
      </w:r>
      <w:bookmarkStart w:id="61" w:name="_DV_C35"/>
      <w:r>
        <w:rPr>
          <w:rStyle w:val="DeltaViewInsertion"/>
          <w:rFonts w:ascii="Book Antiqua" w:hAnsi="Book Antiqua"/>
          <w:sz w:val="27"/>
          <w:szCs w:val="27"/>
        </w:rPr>
        <w:t xml:space="preserve"> purposes</w:t>
      </w:r>
      <w:bookmarkStart w:id="62" w:name="_DV_M25"/>
      <w:bookmarkEnd w:id="61"/>
      <w:bookmarkEnd w:id="62"/>
      <w:r>
        <w:rPr>
          <w:rFonts w:ascii="Book Antiqua" w:hAnsi="Book Antiqua"/>
          <w:color w:val="000000"/>
          <w:sz w:val="27"/>
          <w:szCs w:val="27"/>
        </w:rPr>
        <w:t xml:space="preserve">" shall be defined in promotional materials, in the </w:t>
      </w:r>
      <w:bookmarkStart w:id="63" w:name="_DV_C36"/>
      <w:r w:rsidR="0064742C">
        <w:rPr>
          <w:rStyle w:val="DeltaViewDeletion"/>
          <w:rFonts w:ascii="Book Antiqua" w:hAnsi="Book Antiqua"/>
          <w:szCs w:val="27"/>
        </w:rPr>
        <w:t xml:space="preserve">plain language </w:t>
      </w:r>
      <w:bookmarkStart w:id="64" w:name="_DV_M26"/>
      <w:bookmarkEnd w:id="63"/>
      <w:bookmarkEnd w:id="64"/>
      <w:r>
        <w:rPr>
          <w:rFonts w:ascii="Book Antiqua" w:hAnsi="Book Antiqua"/>
          <w:color w:val="000000"/>
          <w:sz w:val="27"/>
          <w:szCs w:val="27"/>
        </w:rPr>
        <w:t xml:space="preserve">summary required pursuant to subsection (b) of this section, and on the </w:t>
      </w:r>
      <w:bookmarkStart w:id="65" w:name="_DV_C37"/>
      <w:r w:rsidR="0064742C">
        <w:rPr>
          <w:rStyle w:val="DeltaViewDeletion"/>
          <w:rFonts w:ascii="Book Antiqua" w:hAnsi="Book Antiqua"/>
          <w:szCs w:val="27"/>
        </w:rPr>
        <w:t>HIPAA authorization</w:t>
      </w:r>
      <w:bookmarkStart w:id="66" w:name="_DV_C38"/>
      <w:bookmarkEnd w:id="65"/>
      <w:r>
        <w:rPr>
          <w:rStyle w:val="DeltaViewInsertion"/>
          <w:rFonts w:ascii="Book Antiqua" w:hAnsi="Book Antiqua"/>
          <w:sz w:val="27"/>
          <w:szCs w:val="27"/>
        </w:rPr>
        <w:t>enrollment</w:t>
      </w:r>
      <w:bookmarkStart w:id="67" w:name="_DV_M27"/>
      <w:bookmarkEnd w:id="66"/>
      <w:bookmarkEnd w:id="67"/>
      <w:r>
        <w:rPr>
          <w:rFonts w:ascii="Book Antiqua" w:hAnsi="Book Antiqua"/>
          <w:color w:val="000000"/>
          <w:sz w:val="27"/>
          <w:szCs w:val="27"/>
        </w:rPr>
        <w:t xml:space="preserve"> form </w:t>
      </w:r>
      <w:bookmarkStart w:id="68" w:name="_DV_C39"/>
      <w:r w:rsidR="0064742C">
        <w:rPr>
          <w:rStyle w:val="DeltaViewDeletion"/>
          <w:rFonts w:ascii="Book Antiqua" w:hAnsi="Book Antiqua"/>
          <w:szCs w:val="27"/>
        </w:rPr>
        <w:t>adjacent to</w:t>
      </w:r>
      <w:bookmarkStart w:id="69" w:name="_DV_C40"/>
      <w:bookmarkEnd w:id="68"/>
      <w:r>
        <w:rPr>
          <w:rStyle w:val="DeltaViewInsertion"/>
          <w:rFonts w:ascii="Book Antiqua" w:hAnsi="Book Antiqua"/>
          <w:sz w:val="27"/>
          <w:szCs w:val="27"/>
        </w:rPr>
        <w:t>at</w:t>
      </w:r>
      <w:bookmarkStart w:id="70" w:name="_DV_M28"/>
      <w:bookmarkEnd w:id="69"/>
      <w:bookmarkEnd w:id="70"/>
      <w:r>
        <w:rPr>
          <w:rFonts w:ascii="Book Antiqua" w:hAnsi="Book Antiqua"/>
          <w:color w:val="000000"/>
          <w:sz w:val="27"/>
          <w:szCs w:val="27"/>
        </w:rPr>
        <w:t xml:space="preserve"> the point </w:t>
      </w:r>
      <w:bookmarkStart w:id="71" w:name="_DV_C41"/>
      <w:r w:rsidR="0064742C">
        <w:rPr>
          <w:rStyle w:val="DeltaViewDeletion"/>
          <w:rFonts w:ascii="Book Antiqua" w:hAnsi="Book Antiqua"/>
          <w:szCs w:val="27"/>
        </w:rPr>
        <w:t>where the</w:t>
      </w:r>
      <w:bookmarkStart w:id="72" w:name="_DV_C42"/>
      <w:bookmarkEnd w:id="71"/>
      <w:r>
        <w:rPr>
          <w:rStyle w:val="DeltaViewInsertion"/>
          <w:rFonts w:ascii="Book Antiqua" w:hAnsi="Book Antiqua"/>
          <w:sz w:val="27"/>
          <w:szCs w:val="27"/>
        </w:rPr>
        <w:t>of</w:t>
      </w:r>
      <w:bookmarkStart w:id="73" w:name="_DV_M29"/>
      <w:bookmarkEnd w:id="72"/>
      <w:bookmarkEnd w:id="73"/>
      <w:r>
        <w:rPr>
          <w:rFonts w:ascii="Book Antiqua" w:hAnsi="Book Antiqua"/>
          <w:color w:val="000000"/>
          <w:sz w:val="27"/>
          <w:szCs w:val="27"/>
        </w:rPr>
        <w:t xml:space="preserve"> HIPAA authorization</w:t>
      </w:r>
      <w:bookmarkStart w:id="74" w:name="_DV_C43"/>
      <w:r w:rsidR="0064742C">
        <w:rPr>
          <w:rStyle w:val="DeltaViewDeletion"/>
          <w:rFonts w:ascii="Book Antiqua" w:hAnsi="Book Antiqua"/>
          <w:szCs w:val="27"/>
        </w:rPr>
        <w:t xml:space="preserve"> form is to be signed</w:t>
      </w:r>
      <w:bookmarkStart w:id="75" w:name="_DV_M30"/>
      <w:bookmarkEnd w:id="74"/>
      <w:bookmarkEnd w:id="75"/>
      <w:r>
        <w:rPr>
          <w:rFonts w:ascii="Book Antiqua" w:hAnsi="Book Antiqua"/>
          <w:color w:val="000000"/>
          <w:sz w:val="27"/>
          <w:szCs w:val="27"/>
        </w:rPr>
        <w:t>, if such terms are used in such materials, summary or enrollment form.</w:t>
      </w:r>
    </w:p>
    <w:p w:rsidR="00A07BE7" w:rsidRDefault="00A07BE7">
      <w:pPr>
        <w:pStyle w:val="NormalWeb"/>
        <w:rPr>
          <w:color w:val="000000"/>
          <w:sz w:val="27"/>
          <w:szCs w:val="27"/>
        </w:rPr>
      </w:pPr>
      <w:bookmarkStart w:id="76" w:name="_DV_M31"/>
      <w:bookmarkEnd w:id="76"/>
      <w:r>
        <w:rPr>
          <w:rFonts w:ascii="Book Antiqua" w:hAnsi="Book Antiqua"/>
          <w:color w:val="000000"/>
          <w:sz w:val="27"/>
          <w:szCs w:val="27"/>
        </w:rPr>
        <w:t>(</w:t>
      </w:r>
      <w:bookmarkStart w:id="77" w:name="_DV_C44"/>
      <w:r w:rsidR="0064742C">
        <w:rPr>
          <w:rStyle w:val="DeltaViewDeletion"/>
          <w:rFonts w:ascii="Book Antiqua" w:hAnsi="Book Antiqua"/>
          <w:szCs w:val="27"/>
        </w:rPr>
        <w:t>d</w:t>
      </w:r>
      <w:bookmarkStart w:id="78" w:name="_DV_C45"/>
      <w:bookmarkEnd w:id="77"/>
      <w:r>
        <w:rPr>
          <w:rStyle w:val="DeltaViewInsertion"/>
          <w:rFonts w:ascii="Book Antiqua" w:hAnsi="Book Antiqua"/>
          <w:sz w:val="27"/>
          <w:szCs w:val="27"/>
        </w:rPr>
        <w:t>e</w:t>
      </w:r>
      <w:bookmarkStart w:id="79" w:name="_DV_M32"/>
      <w:bookmarkEnd w:id="78"/>
      <w:bookmarkEnd w:id="79"/>
      <w:r>
        <w:rPr>
          <w:rFonts w:ascii="Book Antiqua" w:hAnsi="Book Antiqua"/>
          <w:color w:val="000000"/>
          <w:sz w:val="27"/>
          <w:szCs w:val="27"/>
        </w:rPr>
        <w:t>) A violation of subsection (b)</w:t>
      </w:r>
      <w:bookmarkStart w:id="80" w:name="_DV_C46"/>
      <w:r w:rsidR="0064742C">
        <w:rPr>
          <w:rStyle w:val="DeltaViewDeletion"/>
          <w:rFonts w:ascii="Book Antiqua" w:hAnsi="Book Antiqua"/>
          <w:szCs w:val="27"/>
        </w:rPr>
        <w:t xml:space="preserve"> or</w:t>
      </w:r>
      <w:bookmarkStart w:id="81" w:name="_DV_C47"/>
      <w:bookmarkEnd w:id="80"/>
      <w:r>
        <w:rPr>
          <w:rStyle w:val="DeltaViewInsertion"/>
          <w:rFonts w:ascii="Book Antiqua" w:hAnsi="Book Antiqua"/>
          <w:sz w:val="27"/>
          <w:szCs w:val="27"/>
        </w:rPr>
        <w:t>,</w:t>
      </w:r>
      <w:bookmarkStart w:id="82" w:name="_DV_M33"/>
      <w:bookmarkEnd w:id="81"/>
      <w:bookmarkEnd w:id="82"/>
      <w:r>
        <w:rPr>
          <w:rFonts w:ascii="Book Antiqua" w:hAnsi="Book Antiqua"/>
          <w:color w:val="000000"/>
          <w:sz w:val="27"/>
          <w:szCs w:val="27"/>
        </w:rPr>
        <w:t xml:space="preserve"> (c) </w:t>
      </w:r>
      <w:bookmarkStart w:id="83" w:name="_DV_C48"/>
      <w:r>
        <w:rPr>
          <w:rStyle w:val="DeltaViewInsertion"/>
          <w:rFonts w:ascii="Book Antiqua" w:hAnsi="Book Antiqua"/>
          <w:sz w:val="27"/>
          <w:szCs w:val="27"/>
        </w:rPr>
        <w:t xml:space="preserve">or (d) </w:t>
      </w:r>
      <w:bookmarkStart w:id="84" w:name="_DV_M34"/>
      <w:bookmarkEnd w:id="83"/>
      <w:bookmarkEnd w:id="84"/>
      <w:r>
        <w:rPr>
          <w:rFonts w:ascii="Book Antiqua" w:hAnsi="Book Antiqua"/>
          <w:color w:val="000000"/>
          <w:sz w:val="27"/>
          <w:szCs w:val="27"/>
        </w:rPr>
        <w:t>of this section shall be deemed an unfair or deceptive act or practice in the conduct of trade or commerce under subsection (a) of section 42-110b of the general statutes.</w:t>
      </w:r>
    </w:p>
    <w:p w:rsidR="008B3F81" w:rsidRDefault="008B3F81">
      <w:pPr>
        <w:rPr>
          <w:szCs w:val="27"/>
        </w:rPr>
      </w:pPr>
    </w:p>
    <w:p w:rsidR="008B3F81" w:rsidRDefault="008B3F81">
      <w:pPr>
        <w:spacing w:after="0" w:line="240" w:lineRule="auto"/>
        <w:rPr>
          <w:szCs w:val="27"/>
        </w:rPr>
        <w:sectPr w:rsidR="008B3F81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szCs w:val="27"/>
        </w:rPr>
        <w:t xml:space="preserve"> </w:t>
      </w:r>
      <w:bookmarkStart w:id="85" w:name="_DV_X0"/>
    </w:p>
    <w:p w:rsidR="008B3F81" w:rsidRDefault="008B3F81">
      <w:pPr>
        <w:pStyle w:val="DeltaViewTableBody"/>
        <w:rPr>
          <w:szCs w:val="27"/>
        </w:rPr>
      </w:pPr>
      <w:r>
        <w:rPr>
          <w:szCs w:val="27"/>
        </w:rPr>
        <w:lastRenderedPageBreak/>
        <w:t xml:space="preserve">Document comparison by </w:t>
      </w:r>
      <w:bookmarkStart w:id="86" w:name="Program"/>
      <w:r>
        <w:rPr>
          <w:szCs w:val="27"/>
        </w:rPr>
        <w:t>Workshare Compare</w:t>
      </w:r>
      <w:bookmarkEnd w:id="86"/>
      <w:r>
        <w:rPr>
          <w:szCs w:val="27"/>
        </w:rPr>
        <w:t xml:space="preserve"> on </w:t>
      </w:r>
      <w:bookmarkStart w:id="87" w:name="Date"/>
      <w:r>
        <w:rPr>
          <w:szCs w:val="27"/>
        </w:rPr>
        <w:t>Wednesday, June 18, 2014 12:04:05 PM</w:t>
      </w:r>
      <w:bookmarkEnd w:id="87"/>
    </w:p>
    <w:tbl>
      <w:tblPr>
        <w:tblW w:w="8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06"/>
        <w:gridCol w:w="6289"/>
      </w:tblGrid>
      <w:tr w:rsidR="008B3F81">
        <w:tc>
          <w:tcPr>
            <w:tcW w:w="8295" w:type="dxa"/>
            <w:gridSpan w:val="2"/>
            <w:shd w:val="clear" w:color="auto" w:fill="C0C0C0"/>
            <w:vAlign w:val="center"/>
          </w:tcPr>
          <w:p w:rsidR="008B3F81" w:rsidRDefault="008B3F81">
            <w:pPr>
              <w:pStyle w:val="DeltaViewTableHeading"/>
              <w:rPr>
                <w:szCs w:val="27"/>
              </w:rPr>
            </w:pPr>
            <w:r>
              <w:rPr>
                <w:szCs w:val="27"/>
              </w:rPr>
              <w:t>Input:</w:t>
            </w:r>
          </w:p>
        </w:tc>
      </w:tr>
      <w:tr w:rsidR="008B3F81">
        <w:tc>
          <w:tcPr>
            <w:tcW w:w="2010" w:type="dxa"/>
            <w:vAlign w:val="center"/>
          </w:tcPr>
          <w:p w:rsidR="008B3F81" w:rsidRDefault="008B3F81">
            <w:pPr>
              <w:pStyle w:val="DeltaViewTableBody"/>
              <w:rPr>
                <w:szCs w:val="27"/>
              </w:rPr>
            </w:pPr>
            <w:r>
              <w:rPr>
                <w:szCs w:val="27"/>
              </w:rPr>
              <w:t>Document 1 ID</w:t>
            </w:r>
          </w:p>
        </w:tc>
        <w:tc>
          <w:tcPr>
            <w:tcW w:w="6300" w:type="dxa"/>
            <w:vAlign w:val="center"/>
          </w:tcPr>
          <w:p w:rsidR="008B3F81" w:rsidRDefault="008B3F81">
            <w:pPr>
              <w:pStyle w:val="DeltaViewTableBody"/>
              <w:rPr>
                <w:szCs w:val="27"/>
              </w:rPr>
            </w:pPr>
            <w:bookmarkStart w:id="88" w:name="Doc1ID"/>
            <w:r>
              <w:rPr>
                <w:szCs w:val="27"/>
              </w:rPr>
              <w:t>file://C:/Users/sdwillis/Desktop/CT Bill Senate.docx</w:t>
            </w:r>
            <w:bookmarkEnd w:id="88"/>
            <w:r>
              <w:rPr>
                <w:szCs w:val="27"/>
              </w:rPr>
              <w:t xml:space="preserve"> </w:t>
            </w:r>
          </w:p>
        </w:tc>
      </w:tr>
      <w:tr w:rsidR="008B3F81">
        <w:tc>
          <w:tcPr>
            <w:tcW w:w="2010" w:type="dxa"/>
            <w:vAlign w:val="center"/>
          </w:tcPr>
          <w:p w:rsidR="008B3F81" w:rsidRDefault="008B3F81">
            <w:pPr>
              <w:pStyle w:val="DeltaViewTableBody"/>
              <w:rPr>
                <w:szCs w:val="27"/>
              </w:rPr>
            </w:pPr>
            <w:r>
              <w:rPr>
                <w:szCs w:val="27"/>
              </w:rPr>
              <w:t>Description</w:t>
            </w:r>
          </w:p>
        </w:tc>
        <w:tc>
          <w:tcPr>
            <w:tcW w:w="6300" w:type="dxa"/>
            <w:vAlign w:val="center"/>
          </w:tcPr>
          <w:p w:rsidR="008B3F81" w:rsidRDefault="008B3F81">
            <w:pPr>
              <w:pStyle w:val="DeltaViewTableBody"/>
              <w:rPr>
                <w:szCs w:val="27"/>
              </w:rPr>
            </w:pPr>
            <w:bookmarkStart w:id="89" w:name="Doc1Desc"/>
            <w:r>
              <w:rPr>
                <w:szCs w:val="27"/>
              </w:rPr>
              <w:t>CT Bill Senate</w:t>
            </w:r>
            <w:bookmarkEnd w:id="89"/>
            <w:r>
              <w:rPr>
                <w:szCs w:val="27"/>
              </w:rPr>
              <w:t xml:space="preserve"> </w:t>
            </w:r>
          </w:p>
        </w:tc>
      </w:tr>
      <w:tr w:rsidR="008B3F81">
        <w:tc>
          <w:tcPr>
            <w:tcW w:w="2010" w:type="dxa"/>
            <w:vAlign w:val="center"/>
          </w:tcPr>
          <w:p w:rsidR="008B3F81" w:rsidRDefault="008B3F81">
            <w:pPr>
              <w:pStyle w:val="DeltaViewTableBody"/>
              <w:rPr>
                <w:szCs w:val="27"/>
              </w:rPr>
            </w:pPr>
            <w:r>
              <w:rPr>
                <w:szCs w:val="27"/>
              </w:rPr>
              <w:t>Document 2 ID</w:t>
            </w:r>
          </w:p>
        </w:tc>
        <w:tc>
          <w:tcPr>
            <w:tcW w:w="6300" w:type="dxa"/>
            <w:vAlign w:val="center"/>
          </w:tcPr>
          <w:p w:rsidR="008B3F81" w:rsidRDefault="008B3F81">
            <w:pPr>
              <w:pStyle w:val="DeltaViewTableBody"/>
              <w:rPr>
                <w:szCs w:val="27"/>
              </w:rPr>
            </w:pPr>
            <w:bookmarkStart w:id="90" w:name="Doc2ID"/>
            <w:r>
              <w:rPr>
                <w:szCs w:val="27"/>
              </w:rPr>
              <w:t>file://C:/Users/sdwillis/Desktop/CT Bill enacted.docx</w:t>
            </w:r>
            <w:bookmarkEnd w:id="90"/>
            <w:r>
              <w:rPr>
                <w:szCs w:val="27"/>
              </w:rPr>
              <w:t xml:space="preserve"> </w:t>
            </w:r>
          </w:p>
        </w:tc>
      </w:tr>
      <w:tr w:rsidR="008B3F81">
        <w:tc>
          <w:tcPr>
            <w:tcW w:w="2010" w:type="dxa"/>
            <w:vAlign w:val="center"/>
          </w:tcPr>
          <w:p w:rsidR="008B3F81" w:rsidRDefault="008B3F81">
            <w:pPr>
              <w:pStyle w:val="DeltaViewTableBody"/>
              <w:rPr>
                <w:szCs w:val="27"/>
              </w:rPr>
            </w:pPr>
            <w:r>
              <w:rPr>
                <w:szCs w:val="27"/>
              </w:rPr>
              <w:t>Description</w:t>
            </w:r>
          </w:p>
        </w:tc>
        <w:tc>
          <w:tcPr>
            <w:tcW w:w="6300" w:type="dxa"/>
            <w:vAlign w:val="center"/>
          </w:tcPr>
          <w:p w:rsidR="008B3F81" w:rsidRDefault="008B3F81">
            <w:pPr>
              <w:pStyle w:val="DeltaViewTableBody"/>
              <w:rPr>
                <w:szCs w:val="27"/>
              </w:rPr>
            </w:pPr>
            <w:bookmarkStart w:id="91" w:name="Doc2Desc"/>
            <w:r>
              <w:rPr>
                <w:szCs w:val="27"/>
              </w:rPr>
              <w:t>CT Bill enacted</w:t>
            </w:r>
            <w:bookmarkEnd w:id="91"/>
            <w:r>
              <w:rPr>
                <w:szCs w:val="27"/>
              </w:rPr>
              <w:t xml:space="preserve"> </w:t>
            </w:r>
          </w:p>
        </w:tc>
      </w:tr>
      <w:tr w:rsidR="008B3F81">
        <w:tc>
          <w:tcPr>
            <w:tcW w:w="2010" w:type="dxa"/>
            <w:vAlign w:val="center"/>
          </w:tcPr>
          <w:p w:rsidR="008B3F81" w:rsidRDefault="008B3F81">
            <w:pPr>
              <w:pStyle w:val="DeltaViewTableBody"/>
              <w:rPr>
                <w:szCs w:val="27"/>
              </w:rPr>
            </w:pPr>
            <w:r>
              <w:rPr>
                <w:szCs w:val="27"/>
              </w:rPr>
              <w:t>Rendering set</w:t>
            </w:r>
          </w:p>
        </w:tc>
        <w:tc>
          <w:tcPr>
            <w:tcW w:w="6300" w:type="dxa"/>
            <w:vAlign w:val="center"/>
          </w:tcPr>
          <w:p w:rsidR="008B3F81" w:rsidRDefault="008B3F81">
            <w:pPr>
              <w:pStyle w:val="DeltaViewTableBody"/>
              <w:rPr>
                <w:szCs w:val="27"/>
              </w:rPr>
            </w:pPr>
            <w:bookmarkStart w:id="92" w:name="RenderingSet"/>
            <w:r>
              <w:rPr>
                <w:szCs w:val="27"/>
              </w:rPr>
              <w:t>strikethrough</w:t>
            </w:r>
            <w:bookmarkEnd w:id="92"/>
          </w:p>
        </w:tc>
      </w:tr>
    </w:tbl>
    <w:p w:rsidR="008B3F81" w:rsidRDefault="008B3F81">
      <w:pPr>
        <w:pStyle w:val="DeltaViewTableBody"/>
        <w:rPr>
          <w:szCs w:val="27"/>
        </w:rPr>
      </w:pPr>
    </w:p>
    <w:tbl>
      <w:tblPr>
        <w:tblW w:w="49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0"/>
        <w:gridCol w:w="2985"/>
      </w:tblGrid>
      <w:tr w:rsidR="008B3F81">
        <w:tc>
          <w:tcPr>
            <w:tcW w:w="4995" w:type="dxa"/>
            <w:gridSpan w:val="2"/>
            <w:shd w:val="clear" w:color="auto" w:fill="C0C0C0"/>
            <w:vAlign w:val="center"/>
          </w:tcPr>
          <w:p w:rsidR="008B3F81" w:rsidRDefault="008B3F81">
            <w:pPr>
              <w:pStyle w:val="DeltaViewTableHeading"/>
              <w:rPr>
                <w:szCs w:val="27"/>
              </w:rPr>
            </w:pPr>
            <w:r>
              <w:rPr>
                <w:szCs w:val="27"/>
              </w:rPr>
              <w:t>Legend:</w:t>
            </w:r>
          </w:p>
        </w:tc>
      </w:tr>
      <w:tr w:rsidR="008B3F81">
        <w:tc>
          <w:tcPr>
            <w:tcW w:w="4995" w:type="dxa"/>
            <w:gridSpan w:val="2"/>
            <w:vAlign w:val="center"/>
          </w:tcPr>
          <w:p w:rsidR="008B3F81" w:rsidRDefault="008B3F81">
            <w:pPr>
              <w:pStyle w:val="DeltaViewTableBody"/>
              <w:rPr>
                <w:rFonts w:ascii="Times New Roman" w:hAnsi="Times New Roman"/>
                <w:color w:val="0000FF"/>
                <w:szCs w:val="27"/>
                <w:u w:val="double"/>
              </w:rPr>
            </w:pPr>
            <w:bookmarkStart w:id="93" w:name="Leg_Ins"/>
            <w:r>
              <w:rPr>
                <w:rStyle w:val="DeltaViewInsertion"/>
                <w:rFonts w:ascii="Times New Roman" w:hAnsi="Times New Roman"/>
                <w:szCs w:val="27"/>
              </w:rPr>
              <w:t xml:space="preserve">Insertion </w:t>
            </w:r>
            <w:bookmarkEnd w:id="93"/>
          </w:p>
        </w:tc>
      </w:tr>
      <w:tr w:rsidR="008B3F81">
        <w:tc>
          <w:tcPr>
            <w:tcW w:w="4995" w:type="dxa"/>
            <w:gridSpan w:val="2"/>
            <w:vAlign w:val="center"/>
          </w:tcPr>
          <w:p w:rsidR="008B3F81" w:rsidRDefault="008B3F81">
            <w:pPr>
              <w:pStyle w:val="DeltaViewTableBody"/>
              <w:rPr>
                <w:rFonts w:ascii="Times New Roman" w:hAnsi="Times New Roman"/>
                <w:strike/>
                <w:color w:val="FF0000"/>
                <w:szCs w:val="27"/>
              </w:rPr>
            </w:pPr>
            <w:bookmarkStart w:id="94" w:name="Leg_Del"/>
            <w:r>
              <w:rPr>
                <w:rStyle w:val="DeltaViewDeletion"/>
                <w:rFonts w:ascii="Times New Roman" w:hAnsi="Times New Roman"/>
                <w:szCs w:val="27"/>
              </w:rPr>
              <w:t xml:space="preserve">Deletion </w:t>
            </w:r>
            <w:bookmarkEnd w:id="94"/>
          </w:p>
        </w:tc>
      </w:tr>
      <w:tr w:rsidR="008B3F81">
        <w:tc>
          <w:tcPr>
            <w:tcW w:w="4995" w:type="dxa"/>
            <w:gridSpan w:val="2"/>
            <w:vAlign w:val="center"/>
          </w:tcPr>
          <w:p w:rsidR="008B3F81" w:rsidRDefault="008B3F81">
            <w:pPr>
              <w:pStyle w:val="DeltaViewTableBody"/>
              <w:rPr>
                <w:rFonts w:ascii="Times New Roman" w:hAnsi="Times New Roman"/>
                <w:strike/>
                <w:color w:val="00C000"/>
                <w:szCs w:val="27"/>
              </w:rPr>
            </w:pPr>
            <w:bookmarkStart w:id="95" w:name="Leg_MoveSource"/>
            <w:r>
              <w:rPr>
                <w:rStyle w:val="DeltaViewMoveSource"/>
                <w:rFonts w:ascii="Times New Roman" w:hAnsi="Times New Roman"/>
                <w:szCs w:val="27"/>
              </w:rPr>
              <w:t xml:space="preserve">Moved from </w:t>
            </w:r>
            <w:bookmarkEnd w:id="95"/>
          </w:p>
        </w:tc>
      </w:tr>
      <w:tr w:rsidR="008B3F81">
        <w:tc>
          <w:tcPr>
            <w:tcW w:w="4995" w:type="dxa"/>
            <w:gridSpan w:val="2"/>
            <w:vAlign w:val="center"/>
          </w:tcPr>
          <w:p w:rsidR="008B3F81" w:rsidRDefault="008B3F81">
            <w:pPr>
              <w:pStyle w:val="DeltaViewTableBody"/>
              <w:rPr>
                <w:rFonts w:ascii="Times New Roman" w:hAnsi="Times New Roman"/>
                <w:color w:val="00C000"/>
                <w:szCs w:val="27"/>
                <w:u w:val="double"/>
              </w:rPr>
            </w:pPr>
            <w:bookmarkStart w:id="96" w:name="Leg_MoveDest"/>
            <w:r>
              <w:rPr>
                <w:rStyle w:val="DeltaViewMoveDestination"/>
                <w:rFonts w:ascii="Times New Roman" w:hAnsi="Times New Roman"/>
                <w:szCs w:val="27"/>
              </w:rPr>
              <w:t xml:space="preserve">Moved to </w:t>
            </w:r>
            <w:bookmarkEnd w:id="96"/>
          </w:p>
        </w:tc>
      </w:tr>
      <w:tr w:rsidR="008B3F81">
        <w:tc>
          <w:tcPr>
            <w:tcW w:w="4995" w:type="dxa"/>
            <w:gridSpan w:val="2"/>
            <w:vAlign w:val="center"/>
          </w:tcPr>
          <w:p w:rsidR="008B3F81" w:rsidRDefault="008B3F81">
            <w:pPr>
              <w:pStyle w:val="DeltaViewTableBody"/>
              <w:rPr>
                <w:rFonts w:ascii="Times New Roman" w:hAnsi="Times New Roman"/>
                <w:color w:val="000000"/>
                <w:szCs w:val="27"/>
              </w:rPr>
            </w:pPr>
            <w:bookmarkStart w:id="97" w:name="Leg_StyleChange"/>
            <w:r>
              <w:rPr>
                <w:rStyle w:val="DeltaViewStyleChangeLabel"/>
                <w:rFonts w:ascii="Times New Roman" w:hAnsi="Times New Roman"/>
                <w:szCs w:val="27"/>
              </w:rPr>
              <w:t xml:space="preserve">Style change </w:t>
            </w:r>
            <w:bookmarkEnd w:id="97"/>
          </w:p>
        </w:tc>
      </w:tr>
      <w:tr w:rsidR="008B3F81">
        <w:tc>
          <w:tcPr>
            <w:tcW w:w="4995" w:type="dxa"/>
            <w:gridSpan w:val="2"/>
            <w:vAlign w:val="center"/>
          </w:tcPr>
          <w:p w:rsidR="008B3F81" w:rsidRDefault="008B3F81">
            <w:pPr>
              <w:pStyle w:val="DeltaViewTableBody"/>
              <w:rPr>
                <w:rFonts w:ascii="Times New Roman" w:hAnsi="Times New Roman"/>
                <w:color w:val="000000"/>
                <w:szCs w:val="27"/>
                <w:highlight w:val="white"/>
              </w:rPr>
            </w:pPr>
            <w:bookmarkStart w:id="98" w:name="Leg_FormatChange"/>
            <w:r>
              <w:rPr>
                <w:rStyle w:val="DeltaViewFormatChange"/>
                <w:rFonts w:ascii="Times New Roman" w:hAnsi="Times New Roman"/>
                <w:szCs w:val="27"/>
                <w:highlight w:val="white"/>
              </w:rPr>
              <w:t xml:space="preserve">Format change </w:t>
            </w:r>
            <w:bookmarkEnd w:id="98"/>
          </w:p>
        </w:tc>
      </w:tr>
      <w:tr w:rsidR="008B3F81">
        <w:tc>
          <w:tcPr>
            <w:tcW w:w="4995" w:type="dxa"/>
            <w:gridSpan w:val="2"/>
            <w:vAlign w:val="center"/>
          </w:tcPr>
          <w:p w:rsidR="008B3F81" w:rsidRDefault="008B3F81">
            <w:pPr>
              <w:pStyle w:val="DeltaViewTableBody"/>
              <w:rPr>
                <w:rFonts w:ascii="Times New Roman" w:hAnsi="Times New Roman"/>
                <w:strike/>
                <w:color w:val="C08080"/>
                <w:szCs w:val="27"/>
              </w:rPr>
            </w:pPr>
            <w:bookmarkStart w:id="99" w:name="Leg_MovedDel"/>
            <w:r>
              <w:rPr>
                <w:rStyle w:val="DeltaViewMovedDeletion"/>
                <w:rFonts w:ascii="Times New Roman" w:hAnsi="Times New Roman"/>
                <w:szCs w:val="27"/>
              </w:rPr>
              <w:t xml:space="preserve">Moved deletion </w:t>
            </w:r>
            <w:bookmarkEnd w:id="99"/>
          </w:p>
        </w:tc>
      </w:tr>
      <w:tr w:rsidR="008B3F81">
        <w:tc>
          <w:tcPr>
            <w:tcW w:w="2010" w:type="dxa"/>
            <w:vAlign w:val="center"/>
          </w:tcPr>
          <w:p w:rsidR="008B3F81" w:rsidRDefault="008B3F81">
            <w:pPr>
              <w:pStyle w:val="DeltaViewTableBody"/>
              <w:rPr>
                <w:szCs w:val="27"/>
              </w:rPr>
            </w:pPr>
            <w:r>
              <w:rPr>
                <w:szCs w:val="27"/>
              </w:rPr>
              <w:t>Inserted cell</w:t>
            </w:r>
          </w:p>
        </w:tc>
        <w:tc>
          <w:tcPr>
            <w:tcW w:w="2985" w:type="dxa"/>
            <w:shd w:val="clear" w:color="auto" w:fill="CCCCFF"/>
            <w:vAlign w:val="center"/>
          </w:tcPr>
          <w:p w:rsidR="008B3F81" w:rsidRDefault="008B3F81">
            <w:pPr>
              <w:pStyle w:val="DeltaViewTableBody"/>
              <w:rPr>
                <w:szCs w:val="27"/>
              </w:rPr>
            </w:pPr>
            <w:bookmarkStart w:id="100" w:name="Cell_Ins"/>
            <w:bookmarkEnd w:id="100"/>
            <w:r>
              <w:rPr>
                <w:szCs w:val="27"/>
              </w:rPr>
              <w:t xml:space="preserve"> </w:t>
            </w:r>
          </w:p>
        </w:tc>
      </w:tr>
      <w:tr w:rsidR="008B3F81">
        <w:tc>
          <w:tcPr>
            <w:tcW w:w="2010" w:type="dxa"/>
            <w:vAlign w:val="center"/>
          </w:tcPr>
          <w:p w:rsidR="008B3F81" w:rsidRDefault="008B3F81">
            <w:pPr>
              <w:pStyle w:val="DeltaViewTableBody"/>
              <w:rPr>
                <w:szCs w:val="27"/>
              </w:rPr>
            </w:pPr>
            <w:r>
              <w:rPr>
                <w:szCs w:val="27"/>
              </w:rPr>
              <w:t>Deleted cell</w:t>
            </w:r>
          </w:p>
        </w:tc>
        <w:tc>
          <w:tcPr>
            <w:tcW w:w="2985" w:type="dxa"/>
            <w:shd w:val="clear" w:color="auto" w:fill="FFCCCC"/>
            <w:vAlign w:val="center"/>
          </w:tcPr>
          <w:p w:rsidR="008B3F81" w:rsidRDefault="008B3F81">
            <w:pPr>
              <w:pStyle w:val="DeltaViewTableBody"/>
              <w:rPr>
                <w:szCs w:val="27"/>
              </w:rPr>
            </w:pPr>
            <w:bookmarkStart w:id="101" w:name="Cell_Del"/>
            <w:bookmarkEnd w:id="101"/>
            <w:r>
              <w:rPr>
                <w:szCs w:val="27"/>
              </w:rPr>
              <w:t xml:space="preserve"> </w:t>
            </w:r>
          </w:p>
        </w:tc>
      </w:tr>
      <w:tr w:rsidR="008B3F81">
        <w:tc>
          <w:tcPr>
            <w:tcW w:w="2010" w:type="dxa"/>
            <w:vAlign w:val="center"/>
          </w:tcPr>
          <w:p w:rsidR="008B3F81" w:rsidRDefault="008B3F81">
            <w:pPr>
              <w:pStyle w:val="DeltaViewTableBody"/>
              <w:rPr>
                <w:szCs w:val="27"/>
              </w:rPr>
            </w:pPr>
            <w:r>
              <w:rPr>
                <w:szCs w:val="27"/>
              </w:rPr>
              <w:t>Moved cell</w:t>
            </w:r>
          </w:p>
        </w:tc>
        <w:tc>
          <w:tcPr>
            <w:tcW w:w="2985" w:type="dxa"/>
            <w:shd w:val="clear" w:color="auto" w:fill="CCC0CC"/>
            <w:vAlign w:val="center"/>
          </w:tcPr>
          <w:p w:rsidR="008B3F81" w:rsidRDefault="008B3F81">
            <w:pPr>
              <w:pStyle w:val="DeltaViewTableBody"/>
              <w:rPr>
                <w:szCs w:val="27"/>
              </w:rPr>
            </w:pPr>
            <w:bookmarkStart w:id="102" w:name="Cell_Move"/>
            <w:bookmarkEnd w:id="102"/>
          </w:p>
        </w:tc>
      </w:tr>
      <w:tr w:rsidR="008B3F81">
        <w:tc>
          <w:tcPr>
            <w:tcW w:w="2010" w:type="dxa"/>
            <w:vAlign w:val="center"/>
          </w:tcPr>
          <w:p w:rsidR="008B3F81" w:rsidRDefault="008B3F81">
            <w:pPr>
              <w:pStyle w:val="DeltaViewTableBody"/>
              <w:rPr>
                <w:szCs w:val="27"/>
              </w:rPr>
            </w:pPr>
            <w:r>
              <w:rPr>
                <w:szCs w:val="27"/>
              </w:rPr>
              <w:t>Split/Merged cell</w:t>
            </w:r>
          </w:p>
        </w:tc>
        <w:tc>
          <w:tcPr>
            <w:tcW w:w="2985" w:type="dxa"/>
            <w:shd w:val="clear" w:color="auto" w:fill="FFFFCC"/>
            <w:vAlign w:val="center"/>
          </w:tcPr>
          <w:p w:rsidR="008B3F81" w:rsidRDefault="008B3F81">
            <w:pPr>
              <w:pStyle w:val="DeltaViewTableBody"/>
              <w:rPr>
                <w:szCs w:val="27"/>
              </w:rPr>
            </w:pPr>
            <w:bookmarkStart w:id="103" w:name="Cell_Merge"/>
            <w:bookmarkEnd w:id="103"/>
          </w:p>
        </w:tc>
      </w:tr>
      <w:tr w:rsidR="008B3F81">
        <w:tc>
          <w:tcPr>
            <w:tcW w:w="2010" w:type="dxa"/>
            <w:vAlign w:val="center"/>
          </w:tcPr>
          <w:p w:rsidR="008B3F81" w:rsidRDefault="008B3F81">
            <w:pPr>
              <w:pStyle w:val="DeltaViewTableBody"/>
              <w:rPr>
                <w:szCs w:val="27"/>
              </w:rPr>
            </w:pPr>
            <w:r>
              <w:rPr>
                <w:szCs w:val="27"/>
              </w:rPr>
              <w:t>Padding cell</w:t>
            </w:r>
          </w:p>
        </w:tc>
        <w:tc>
          <w:tcPr>
            <w:tcW w:w="2985" w:type="dxa"/>
            <w:shd w:val="clear" w:color="auto" w:fill="C0C0C0"/>
            <w:vAlign w:val="center"/>
          </w:tcPr>
          <w:p w:rsidR="008B3F81" w:rsidRDefault="008B3F81">
            <w:pPr>
              <w:pStyle w:val="DeltaViewTableBody"/>
              <w:rPr>
                <w:szCs w:val="27"/>
              </w:rPr>
            </w:pPr>
            <w:bookmarkStart w:id="104" w:name="Cell_Pad"/>
            <w:bookmarkEnd w:id="104"/>
          </w:p>
        </w:tc>
      </w:tr>
    </w:tbl>
    <w:p w:rsidR="008B3F81" w:rsidRDefault="008B3F81">
      <w:pPr>
        <w:pStyle w:val="DeltaViewTableBody"/>
        <w:rPr>
          <w:szCs w:val="27"/>
        </w:rPr>
      </w:pPr>
    </w:p>
    <w:tbl>
      <w:tblPr>
        <w:tblW w:w="49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0"/>
        <w:gridCol w:w="2985"/>
      </w:tblGrid>
      <w:tr w:rsidR="008B3F81">
        <w:tc>
          <w:tcPr>
            <w:tcW w:w="4995" w:type="dxa"/>
            <w:gridSpan w:val="2"/>
            <w:shd w:val="clear" w:color="auto" w:fill="C0C0C0"/>
            <w:vAlign w:val="center"/>
          </w:tcPr>
          <w:p w:rsidR="008B3F81" w:rsidRDefault="008B3F81">
            <w:pPr>
              <w:pStyle w:val="DeltaViewTableHeading"/>
              <w:rPr>
                <w:szCs w:val="27"/>
              </w:rPr>
            </w:pPr>
            <w:r>
              <w:rPr>
                <w:szCs w:val="27"/>
              </w:rPr>
              <w:t>Statistics:</w:t>
            </w:r>
          </w:p>
        </w:tc>
      </w:tr>
      <w:tr w:rsidR="008B3F81">
        <w:tc>
          <w:tcPr>
            <w:tcW w:w="2010" w:type="dxa"/>
            <w:vAlign w:val="center"/>
          </w:tcPr>
          <w:p w:rsidR="008B3F81" w:rsidRDefault="008B3F81">
            <w:pPr>
              <w:pStyle w:val="DeltaViewTableBody"/>
              <w:rPr>
                <w:szCs w:val="27"/>
              </w:rPr>
            </w:pPr>
          </w:p>
        </w:tc>
        <w:tc>
          <w:tcPr>
            <w:tcW w:w="2985" w:type="dxa"/>
            <w:vAlign w:val="center"/>
          </w:tcPr>
          <w:p w:rsidR="008B3F81" w:rsidRDefault="008B3F81">
            <w:pPr>
              <w:pStyle w:val="DeltaViewTableBody"/>
              <w:rPr>
                <w:szCs w:val="27"/>
              </w:rPr>
            </w:pPr>
            <w:r>
              <w:rPr>
                <w:szCs w:val="27"/>
              </w:rPr>
              <w:t>Count</w:t>
            </w:r>
          </w:p>
        </w:tc>
      </w:tr>
      <w:tr w:rsidR="008B3F81">
        <w:tc>
          <w:tcPr>
            <w:tcW w:w="2010" w:type="dxa"/>
            <w:vAlign w:val="center"/>
          </w:tcPr>
          <w:p w:rsidR="008B3F81" w:rsidRDefault="008B3F81">
            <w:pPr>
              <w:pStyle w:val="DeltaViewTableBody"/>
              <w:rPr>
                <w:szCs w:val="27"/>
              </w:rPr>
            </w:pPr>
            <w:r>
              <w:rPr>
                <w:szCs w:val="27"/>
              </w:rPr>
              <w:t>Insertions</w:t>
            </w:r>
          </w:p>
        </w:tc>
        <w:tc>
          <w:tcPr>
            <w:tcW w:w="2985" w:type="dxa"/>
            <w:tcMar>
              <w:right w:w="113" w:type="dxa"/>
            </w:tcMar>
          </w:tcPr>
          <w:p w:rsidR="008B3F81" w:rsidRDefault="008B3F81">
            <w:pPr>
              <w:pStyle w:val="DeltaViewTableBody"/>
              <w:jc w:val="right"/>
              <w:rPr>
                <w:szCs w:val="27"/>
              </w:rPr>
            </w:pPr>
            <w:bookmarkStart w:id="105" w:name="Stat_Ins"/>
            <w:r>
              <w:rPr>
                <w:szCs w:val="27"/>
              </w:rPr>
              <w:t>21</w:t>
            </w:r>
            <w:bookmarkEnd w:id="105"/>
          </w:p>
        </w:tc>
      </w:tr>
      <w:tr w:rsidR="008B3F81">
        <w:tc>
          <w:tcPr>
            <w:tcW w:w="2010" w:type="dxa"/>
            <w:vAlign w:val="center"/>
          </w:tcPr>
          <w:p w:rsidR="008B3F81" w:rsidRDefault="008B3F81">
            <w:pPr>
              <w:pStyle w:val="DeltaViewTableBody"/>
              <w:rPr>
                <w:szCs w:val="27"/>
              </w:rPr>
            </w:pPr>
            <w:r>
              <w:rPr>
                <w:szCs w:val="27"/>
              </w:rPr>
              <w:t>Deletions</w:t>
            </w:r>
          </w:p>
        </w:tc>
        <w:tc>
          <w:tcPr>
            <w:tcW w:w="2985" w:type="dxa"/>
            <w:tcMar>
              <w:right w:w="113" w:type="dxa"/>
            </w:tcMar>
          </w:tcPr>
          <w:p w:rsidR="008B3F81" w:rsidRDefault="008B3F81">
            <w:pPr>
              <w:pStyle w:val="DeltaViewTableBody"/>
              <w:jc w:val="right"/>
              <w:rPr>
                <w:szCs w:val="27"/>
              </w:rPr>
            </w:pPr>
            <w:bookmarkStart w:id="106" w:name="Stat_Del"/>
            <w:r>
              <w:rPr>
                <w:szCs w:val="27"/>
              </w:rPr>
              <w:t>27</w:t>
            </w:r>
            <w:bookmarkEnd w:id="106"/>
          </w:p>
        </w:tc>
      </w:tr>
      <w:tr w:rsidR="008B3F81">
        <w:tc>
          <w:tcPr>
            <w:tcW w:w="2010" w:type="dxa"/>
            <w:vAlign w:val="center"/>
          </w:tcPr>
          <w:p w:rsidR="008B3F81" w:rsidRDefault="008B3F81">
            <w:pPr>
              <w:pStyle w:val="DeltaViewTableBody"/>
              <w:rPr>
                <w:szCs w:val="27"/>
              </w:rPr>
            </w:pPr>
            <w:r>
              <w:rPr>
                <w:szCs w:val="27"/>
              </w:rPr>
              <w:t>Moved from</w:t>
            </w:r>
          </w:p>
        </w:tc>
        <w:tc>
          <w:tcPr>
            <w:tcW w:w="2985" w:type="dxa"/>
            <w:tcMar>
              <w:right w:w="113" w:type="dxa"/>
            </w:tcMar>
          </w:tcPr>
          <w:p w:rsidR="008B3F81" w:rsidRDefault="008B3F81">
            <w:pPr>
              <w:pStyle w:val="DeltaViewTableBody"/>
              <w:jc w:val="right"/>
              <w:rPr>
                <w:szCs w:val="27"/>
              </w:rPr>
            </w:pPr>
            <w:bookmarkStart w:id="107" w:name="Stat_Move"/>
            <w:r>
              <w:rPr>
                <w:szCs w:val="27"/>
              </w:rPr>
              <w:t>0</w:t>
            </w:r>
            <w:bookmarkEnd w:id="107"/>
          </w:p>
        </w:tc>
      </w:tr>
      <w:tr w:rsidR="008B3F81">
        <w:tc>
          <w:tcPr>
            <w:tcW w:w="2010" w:type="dxa"/>
            <w:vAlign w:val="center"/>
          </w:tcPr>
          <w:p w:rsidR="008B3F81" w:rsidRDefault="008B3F81">
            <w:pPr>
              <w:pStyle w:val="DeltaViewTableBody"/>
              <w:rPr>
                <w:szCs w:val="27"/>
              </w:rPr>
            </w:pPr>
            <w:r>
              <w:rPr>
                <w:szCs w:val="27"/>
              </w:rPr>
              <w:t>Moved to</w:t>
            </w:r>
          </w:p>
        </w:tc>
        <w:tc>
          <w:tcPr>
            <w:tcW w:w="2985" w:type="dxa"/>
            <w:tcMar>
              <w:right w:w="113" w:type="dxa"/>
            </w:tcMar>
          </w:tcPr>
          <w:p w:rsidR="008B3F81" w:rsidRDefault="008B3F81">
            <w:pPr>
              <w:pStyle w:val="DeltaViewTableBody"/>
              <w:jc w:val="right"/>
              <w:rPr>
                <w:szCs w:val="27"/>
              </w:rPr>
            </w:pPr>
            <w:bookmarkStart w:id="108" w:name="Stat_Move2"/>
            <w:r>
              <w:rPr>
                <w:szCs w:val="27"/>
              </w:rPr>
              <w:t>0</w:t>
            </w:r>
            <w:bookmarkEnd w:id="108"/>
          </w:p>
        </w:tc>
      </w:tr>
      <w:tr w:rsidR="008B3F81">
        <w:tc>
          <w:tcPr>
            <w:tcW w:w="2010" w:type="dxa"/>
            <w:vAlign w:val="center"/>
          </w:tcPr>
          <w:p w:rsidR="008B3F81" w:rsidRDefault="008B3F81">
            <w:pPr>
              <w:pStyle w:val="DeltaViewTableBody"/>
              <w:rPr>
                <w:szCs w:val="27"/>
              </w:rPr>
            </w:pPr>
            <w:r>
              <w:rPr>
                <w:szCs w:val="27"/>
              </w:rPr>
              <w:t>Style change</w:t>
            </w:r>
          </w:p>
        </w:tc>
        <w:tc>
          <w:tcPr>
            <w:tcW w:w="2985" w:type="dxa"/>
            <w:tcMar>
              <w:right w:w="113" w:type="dxa"/>
            </w:tcMar>
          </w:tcPr>
          <w:p w:rsidR="008B3F81" w:rsidRDefault="008B3F81">
            <w:pPr>
              <w:pStyle w:val="DeltaViewTableBody"/>
              <w:jc w:val="right"/>
              <w:rPr>
                <w:szCs w:val="27"/>
              </w:rPr>
            </w:pPr>
            <w:bookmarkStart w:id="109" w:name="Stat_StyleChange"/>
            <w:r>
              <w:rPr>
                <w:szCs w:val="27"/>
              </w:rPr>
              <w:t>0</w:t>
            </w:r>
            <w:bookmarkEnd w:id="109"/>
          </w:p>
        </w:tc>
      </w:tr>
      <w:tr w:rsidR="008B3F81">
        <w:tc>
          <w:tcPr>
            <w:tcW w:w="2010" w:type="dxa"/>
            <w:tcBorders>
              <w:bottom w:val="double" w:sz="4" w:space="0" w:color="auto"/>
            </w:tcBorders>
            <w:vAlign w:val="center"/>
          </w:tcPr>
          <w:p w:rsidR="008B3F81" w:rsidRDefault="008B3F81">
            <w:pPr>
              <w:pStyle w:val="DeltaViewTableBody"/>
              <w:rPr>
                <w:szCs w:val="27"/>
              </w:rPr>
            </w:pPr>
            <w:r>
              <w:rPr>
                <w:szCs w:val="27"/>
              </w:rPr>
              <w:t>Format changed</w:t>
            </w:r>
          </w:p>
        </w:tc>
        <w:tc>
          <w:tcPr>
            <w:tcW w:w="2985" w:type="dxa"/>
            <w:tcBorders>
              <w:bottom w:val="double" w:sz="4" w:space="0" w:color="auto"/>
            </w:tcBorders>
            <w:tcMar>
              <w:right w:w="113" w:type="dxa"/>
            </w:tcMar>
          </w:tcPr>
          <w:p w:rsidR="008B3F81" w:rsidRDefault="008B3F81">
            <w:pPr>
              <w:pStyle w:val="DeltaViewTableBody"/>
              <w:jc w:val="right"/>
              <w:rPr>
                <w:szCs w:val="27"/>
              </w:rPr>
            </w:pPr>
            <w:bookmarkStart w:id="110" w:name="Stat_Change"/>
            <w:r>
              <w:rPr>
                <w:szCs w:val="27"/>
              </w:rPr>
              <w:t>0</w:t>
            </w:r>
            <w:bookmarkEnd w:id="110"/>
          </w:p>
        </w:tc>
      </w:tr>
      <w:tr w:rsidR="008B3F81">
        <w:tc>
          <w:tcPr>
            <w:tcW w:w="20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3F81" w:rsidRDefault="008B3F81">
            <w:pPr>
              <w:pStyle w:val="DeltaViewTableBody"/>
              <w:rPr>
                <w:szCs w:val="27"/>
              </w:rPr>
            </w:pPr>
            <w:r>
              <w:rPr>
                <w:szCs w:val="27"/>
              </w:rPr>
              <w:t>Total changes</w:t>
            </w:r>
          </w:p>
        </w:tc>
        <w:tc>
          <w:tcPr>
            <w:tcW w:w="2985" w:type="dxa"/>
            <w:tcBorders>
              <w:top w:val="double" w:sz="4" w:space="0" w:color="auto"/>
              <w:bottom w:val="double" w:sz="4" w:space="0" w:color="auto"/>
            </w:tcBorders>
            <w:tcMar>
              <w:right w:w="113" w:type="dxa"/>
            </w:tcMar>
          </w:tcPr>
          <w:p w:rsidR="008B3F81" w:rsidRDefault="008B3F81">
            <w:pPr>
              <w:pStyle w:val="DeltaViewTableBody"/>
              <w:jc w:val="right"/>
              <w:rPr>
                <w:szCs w:val="27"/>
              </w:rPr>
            </w:pPr>
            <w:bookmarkStart w:id="111" w:name="Stat_Total"/>
            <w:r>
              <w:rPr>
                <w:szCs w:val="27"/>
              </w:rPr>
              <w:t>48</w:t>
            </w:r>
            <w:bookmarkEnd w:id="111"/>
          </w:p>
        </w:tc>
      </w:tr>
      <w:bookmarkEnd w:id="85"/>
    </w:tbl>
    <w:p w:rsidR="00000000" w:rsidRDefault="001B126E">
      <w:pPr>
        <w:pStyle w:val="DeltaViewTableBody"/>
      </w:pPr>
    </w:p>
    <w:sectPr w:rsidR="00000000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B126E">
      <w:pPr>
        <w:spacing w:after="0" w:line="240" w:lineRule="auto"/>
      </w:pPr>
      <w:r>
        <w:separator/>
      </w:r>
    </w:p>
  </w:endnote>
  <w:endnote w:type="continuationSeparator" w:id="0">
    <w:p w:rsidR="00000000" w:rsidRDefault="001B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B126E">
    <w:pPr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B126E">
    <w:pPr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B126E">
      <w:pPr>
        <w:spacing w:after="0" w:line="240" w:lineRule="auto"/>
      </w:pPr>
      <w:r>
        <w:separator/>
      </w:r>
    </w:p>
  </w:footnote>
  <w:footnote w:type="continuationSeparator" w:id="0">
    <w:p w:rsidR="00000000" w:rsidRDefault="001B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B126E">
    <w:pPr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B126E">
    <w:pPr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E7"/>
    <w:rsid w:val="001B126E"/>
    <w:rsid w:val="00535108"/>
    <w:rsid w:val="0064742C"/>
    <w:rsid w:val="00682E43"/>
    <w:rsid w:val="008B3F81"/>
    <w:rsid w:val="00A07BE7"/>
    <w:rsid w:val="00EE0BF3"/>
    <w:rsid w:val="00F3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iPriority="1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0" w:line="240" w:lineRule="auto"/>
      <w:outlineLvl w:val="0"/>
    </w:pPr>
    <w:rPr>
      <w:rFonts w:ascii="Times New Roman" w:hAnsi="Times New Roman"/>
      <w:i/>
      <w:sz w:val="18"/>
      <w:szCs w:val="24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DeltaViewTableHeading">
    <w:name w:val="DeltaView Table Heading"/>
    <w:basedOn w:val="Normal"/>
    <w:uiPriority w:val="99"/>
    <w:pPr>
      <w:spacing w:after="120" w:line="240" w:lineRule="auto"/>
    </w:pPr>
    <w:rPr>
      <w:rFonts w:ascii="Arial" w:hAnsi="Arial"/>
      <w:b/>
      <w:sz w:val="24"/>
      <w:szCs w:val="24"/>
    </w:rPr>
  </w:style>
  <w:style w:type="paragraph" w:customStyle="1" w:styleId="DeltaViewTableBody">
    <w:name w:val="DeltaView Table Body"/>
    <w:basedOn w:val="Normal"/>
    <w:uiPriority w:val="99"/>
    <w:pPr>
      <w:spacing w:after="0" w:line="240" w:lineRule="auto"/>
    </w:pPr>
    <w:rPr>
      <w:rFonts w:ascii="Arial" w:hAnsi="Arial"/>
      <w:sz w:val="24"/>
      <w:szCs w:val="24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hAnsi="Arial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rPr>
      <w:sz w:val="16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</w:pPr>
    <w:rPr>
      <w:rFonts w:ascii="Times New Roman" w:hAnsi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cs="Times New Roman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MoveDestination">
    <w:name w:val="DeltaView Move Destination"/>
    <w:uiPriority w:val="99"/>
    <w:rPr>
      <w:color w:val="00C000"/>
      <w:u w:val="double"/>
    </w:rPr>
  </w:style>
  <w:style w:type="paragraph" w:styleId="CommentText">
    <w:name w:val="annotation text"/>
    <w:basedOn w:val="Normal"/>
    <w:link w:val="CommentTextChar"/>
    <w:uiPriority w:val="99"/>
    <w:pPr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Times New Roman"/>
      <w:sz w:val="20"/>
      <w:szCs w:val="20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  <w:spacing w:after="0" w:line="240" w:lineRule="auto"/>
    </w:pPr>
    <w:rPr>
      <w:rFonts w:ascii="Tahoma" w:hAnsi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basedOn w:val="DefaultParagraphFont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basedOn w:val="DeltaView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basedOn w:val="DeltaViewComment"/>
    <w:uiPriority w:val="99"/>
    <w:rPr>
      <w:strike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iPriority="1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0" w:line="240" w:lineRule="auto"/>
      <w:outlineLvl w:val="0"/>
    </w:pPr>
    <w:rPr>
      <w:rFonts w:ascii="Times New Roman" w:hAnsi="Times New Roman"/>
      <w:i/>
      <w:sz w:val="18"/>
      <w:szCs w:val="24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DeltaViewTableHeading">
    <w:name w:val="DeltaView Table Heading"/>
    <w:basedOn w:val="Normal"/>
    <w:uiPriority w:val="99"/>
    <w:pPr>
      <w:spacing w:after="120" w:line="240" w:lineRule="auto"/>
    </w:pPr>
    <w:rPr>
      <w:rFonts w:ascii="Arial" w:hAnsi="Arial"/>
      <w:b/>
      <w:sz w:val="24"/>
      <w:szCs w:val="24"/>
    </w:rPr>
  </w:style>
  <w:style w:type="paragraph" w:customStyle="1" w:styleId="DeltaViewTableBody">
    <w:name w:val="DeltaView Table Body"/>
    <w:basedOn w:val="Normal"/>
    <w:uiPriority w:val="99"/>
    <w:pPr>
      <w:spacing w:after="0" w:line="240" w:lineRule="auto"/>
    </w:pPr>
    <w:rPr>
      <w:rFonts w:ascii="Arial" w:hAnsi="Arial"/>
      <w:sz w:val="24"/>
      <w:szCs w:val="24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hAnsi="Arial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rPr>
      <w:sz w:val="16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</w:pPr>
    <w:rPr>
      <w:rFonts w:ascii="Times New Roman" w:hAnsi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cs="Times New Roman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MoveDestination">
    <w:name w:val="DeltaView Move Destination"/>
    <w:uiPriority w:val="99"/>
    <w:rPr>
      <w:color w:val="00C000"/>
      <w:u w:val="double"/>
    </w:rPr>
  </w:style>
  <w:style w:type="paragraph" w:styleId="CommentText">
    <w:name w:val="annotation text"/>
    <w:basedOn w:val="Normal"/>
    <w:link w:val="CommentTextChar"/>
    <w:uiPriority w:val="99"/>
    <w:pPr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Times New Roman"/>
      <w:sz w:val="20"/>
      <w:szCs w:val="20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  <w:spacing w:after="0" w:line="240" w:lineRule="auto"/>
    </w:pPr>
    <w:rPr>
      <w:rFonts w:ascii="Tahoma" w:hAnsi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basedOn w:val="DefaultParagraphFont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basedOn w:val="DeltaView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basedOn w:val="DeltaViewComment"/>
    <w:uiPriority w:val="99"/>
    <w:rPr>
      <w:strike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3191</Characters>
  <Application>Microsoft Office Word</Application>
  <DocSecurity>4</DocSecurity>
  <Lines>99</Lines>
  <Paragraphs>50</Paragraphs>
  <ScaleCrop>false</ScaleCrop>
  <Company>Mintz Levin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Mintz Levin</dc:creator>
  <cp:keywords/>
  <dc:description/>
  <cp:lastModifiedBy>Mintz Levin</cp:lastModifiedBy>
  <cp:revision>2</cp:revision>
  <dcterms:created xsi:type="dcterms:W3CDTF">2014-06-18T16:04:00Z</dcterms:created>
  <dcterms:modified xsi:type="dcterms:W3CDTF">2014-06-18T16:04:00Z</dcterms:modified>
</cp:coreProperties>
</file>